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C0402A" w:rsidRPr="004E7E16" w:rsidRDefault="00C0402A" w:rsidP="00C0402A">
      <w:pPr>
        <w:jc w:val="center"/>
        <w:rPr>
          <w:rFonts w:asciiTheme="minorHAnsi" w:hAnsiTheme="minorHAnsi" w:cstheme="minorHAnsi"/>
          <w:b/>
        </w:rPr>
      </w:pPr>
      <w:r w:rsidRPr="004E7E16">
        <w:rPr>
          <w:rFonts w:asciiTheme="minorHAnsi" w:hAnsiTheme="minorHAnsi" w:cstheme="minorHAnsi"/>
          <w:b/>
        </w:rPr>
        <w:t>RESPOSTA ESCLARECIMENTO (</w:t>
      </w:r>
      <w:r w:rsidR="004069E2">
        <w:rPr>
          <w:rFonts w:asciiTheme="minorHAnsi" w:hAnsiTheme="minorHAnsi" w:cstheme="minorHAnsi"/>
          <w:b/>
        </w:rPr>
        <w:t>5</w:t>
      </w:r>
      <w:r w:rsidRPr="004E7E16">
        <w:rPr>
          <w:rFonts w:asciiTheme="minorHAnsi" w:hAnsiTheme="minorHAnsi" w:cstheme="minorHAnsi"/>
          <w:b/>
        </w:rPr>
        <w:t>)</w:t>
      </w:r>
    </w:p>
    <w:p w:rsidR="00C0402A" w:rsidRDefault="00C0402A" w:rsidP="00C0402A">
      <w:pPr>
        <w:jc w:val="both"/>
        <w:rPr>
          <w:rFonts w:eastAsia="Times New Roman"/>
          <w:lang w:eastAsia="pt-BR"/>
        </w:rPr>
      </w:pPr>
    </w:p>
    <w:p w:rsidR="00CB0A11" w:rsidRPr="00044CF9" w:rsidRDefault="00CB0A11" w:rsidP="00044CF9">
      <w:pPr>
        <w:jc w:val="both"/>
        <w:rPr>
          <w:rFonts w:asciiTheme="minorHAnsi" w:eastAsia="Times New Roman" w:hAnsiTheme="minorHAnsi" w:cstheme="minorHAnsi"/>
          <w:lang w:eastAsia="pt-BR"/>
        </w:rPr>
      </w:pPr>
      <w:r w:rsidRPr="00044CF9">
        <w:rPr>
          <w:rFonts w:asciiTheme="minorHAnsi" w:eastAsia="Times New Roman" w:hAnsiTheme="minorHAnsi" w:cstheme="minorHAnsi"/>
          <w:lang w:eastAsia="pt-BR"/>
        </w:rPr>
        <w:t>Segue</w:t>
      </w:r>
      <w:r w:rsidR="004069E2">
        <w:rPr>
          <w:rFonts w:asciiTheme="minorHAnsi" w:eastAsia="Times New Roman" w:hAnsiTheme="minorHAnsi" w:cstheme="minorHAnsi"/>
          <w:lang w:eastAsia="pt-BR"/>
        </w:rPr>
        <w:t>m</w:t>
      </w:r>
      <w:r w:rsidRPr="00044CF9">
        <w:rPr>
          <w:rFonts w:asciiTheme="minorHAnsi" w:eastAsia="Times New Roman" w:hAnsiTheme="minorHAnsi" w:cstheme="minorHAnsi"/>
          <w:lang w:eastAsia="pt-BR"/>
        </w:rPr>
        <w:t xml:space="preserve"> resposta</w:t>
      </w:r>
      <w:r w:rsidR="004069E2">
        <w:rPr>
          <w:rFonts w:asciiTheme="minorHAnsi" w:eastAsia="Times New Roman" w:hAnsiTheme="minorHAnsi" w:cstheme="minorHAnsi"/>
          <w:lang w:eastAsia="pt-BR"/>
        </w:rPr>
        <w:t>m</w:t>
      </w:r>
      <w:r w:rsidRPr="00044CF9">
        <w:rPr>
          <w:rFonts w:asciiTheme="minorHAnsi" w:eastAsia="Times New Roman" w:hAnsiTheme="minorHAnsi" w:cstheme="minorHAnsi"/>
          <w:lang w:eastAsia="pt-BR"/>
        </w:rPr>
        <w:t xml:space="preserve"> ao</w:t>
      </w:r>
      <w:r w:rsidR="004069E2">
        <w:rPr>
          <w:rFonts w:asciiTheme="minorHAnsi" w:eastAsia="Times New Roman" w:hAnsiTheme="minorHAnsi" w:cstheme="minorHAnsi"/>
          <w:lang w:eastAsia="pt-BR"/>
        </w:rPr>
        <w:t>s</w:t>
      </w:r>
      <w:r w:rsidRPr="00044CF9">
        <w:rPr>
          <w:rFonts w:asciiTheme="minorHAnsi" w:eastAsia="Times New Roman" w:hAnsiTheme="minorHAnsi" w:cstheme="minorHAnsi"/>
          <w:lang w:eastAsia="pt-BR"/>
        </w:rPr>
        <w:t xml:space="preserve"> esclarecimento</w:t>
      </w:r>
      <w:r w:rsidR="004069E2">
        <w:rPr>
          <w:rFonts w:asciiTheme="minorHAnsi" w:eastAsia="Times New Roman" w:hAnsiTheme="minorHAnsi" w:cstheme="minorHAnsi"/>
          <w:lang w:eastAsia="pt-BR"/>
        </w:rPr>
        <w:t>s</w:t>
      </w:r>
      <w:r w:rsidRPr="00044CF9">
        <w:rPr>
          <w:rFonts w:asciiTheme="minorHAnsi" w:eastAsia="Times New Roman" w:hAnsiTheme="minorHAnsi" w:cstheme="minorHAnsi"/>
          <w:lang w:eastAsia="pt-BR"/>
        </w:rPr>
        <w:t xml:space="preserve"> solicitado</w:t>
      </w:r>
      <w:r w:rsidR="004069E2">
        <w:rPr>
          <w:rFonts w:asciiTheme="minorHAnsi" w:eastAsia="Times New Roman" w:hAnsiTheme="minorHAnsi" w:cstheme="minorHAnsi"/>
          <w:lang w:eastAsia="pt-BR"/>
        </w:rPr>
        <w:t>s</w:t>
      </w:r>
      <w:r w:rsidRPr="00044CF9">
        <w:rPr>
          <w:rFonts w:asciiTheme="minorHAnsi" w:eastAsia="Times New Roman" w:hAnsiTheme="minorHAnsi" w:cstheme="minorHAnsi"/>
          <w:lang w:eastAsia="pt-BR"/>
        </w:rPr>
        <w:t>, referente ao PP 0</w:t>
      </w:r>
      <w:r w:rsidR="0051717D">
        <w:rPr>
          <w:rFonts w:asciiTheme="minorHAnsi" w:eastAsia="Times New Roman" w:hAnsiTheme="minorHAnsi" w:cstheme="minorHAnsi"/>
          <w:lang w:eastAsia="pt-BR"/>
        </w:rPr>
        <w:t>17</w:t>
      </w:r>
      <w:r w:rsidRPr="00044CF9">
        <w:rPr>
          <w:rFonts w:asciiTheme="minorHAnsi" w:eastAsia="Times New Roman" w:hAnsiTheme="minorHAnsi" w:cstheme="minorHAnsi"/>
          <w:lang w:eastAsia="pt-BR"/>
        </w:rPr>
        <w:t>/2021:</w:t>
      </w:r>
    </w:p>
    <w:p w:rsidR="00CB0A11" w:rsidRPr="00044CF9" w:rsidRDefault="00CB0A11" w:rsidP="00044CF9">
      <w:pPr>
        <w:pStyle w:val="NormalWeb"/>
        <w:tabs>
          <w:tab w:val="left" w:pos="4395"/>
        </w:tabs>
        <w:spacing w:before="0" w:beforeAutospacing="0" w:after="0" w:afterAutospacing="0"/>
        <w:jc w:val="both"/>
        <w:rPr>
          <w:rFonts w:asciiTheme="minorHAnsi" w:hAnsiTheme="minorHAnsi" w:cstheme="minorHAnsi"/>
        </w:rPr>
      </w:pP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sz w:val="22"/>
          <w:szCs w:val="22"/>
        </w:rPr>
        <w:t>1. O serviço é novo ou já existe?</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b/>
          <w:sz w:val="22"/>
          <w:szCs w:val="22"/>
          <w:bdr w:val="none" w:sz="0" w:space="0" w:color="auto" w:frame="1"/>
        </w:rPr>
        <w:t>RESPOSTA</w:t>
      </w:r>
      <w:r w:rsidRPr="004069E2">
        <w:rPr>
          <w:rFonts w:asciiTheme="minorHAnsi" w:hAnsiTheme="minorHAnsi" w:cstheme="minorHAnsi"/>
          <w:sz w:val="22"/>
          <w:szCs w:val="22"/>
          <w:bdr w:val="none" w:sz="0" w:space="0" w:color="auto" w:frame="1"/>
        </w:rPr>
        <w:t xml:space="preserve">: </w:t>
      </w:r>
      <w:r w:rsidRPr="004069E2">
        <w:rPr>
          <w:rFonts w:asciiTheme="minorHAnsi" w:hAnsiTheme="minorHAnsi" w:cstheme="minorHAnsi"/>
          <w:sz w:val="22"/>
          <w:szCs w:val="22"/>
          <w:bdr w:val="none" w:sz="0" w:space="0" w:color="auto" w:frame="1"/>
        </w:rPr>
        <w:t>Já existe.</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sz w:val="22"/>
          <w:szCs w:val="22"/>
        </w:rPr>
        <w:br/>
        <w:t>2. Caso já exista, qual a atual prestadora do serviço?</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b/>
          <w:sz w:val="22"/>
          <w:szCs w:val="22"/>
          <w:bdr w:val="none" w:sz="0" w:space="0" w:color="auto" w:frame="1"/>
        </w:rPr>
        <w:t>RESPOSTA</w:t>
      </w:r>
      <w:r w:rsidRPr="004069E2">
        <w:rPr>
          <w:rFonts w:asciiTheme="minorHAnsi" w:hAnsiTheme="minorHAnsi" w:cstheme="minorHAnsi"/>
          <w:sz w:val="22"/>
          <w:szCs w:val="22"/>
          <w:bdr w:val="none" w:sz="0" w:space="0" w:color="auto" w:frame="1"/>
        </w:rPr>
        <w:t xml:space="preserve">: </w:t>
      </w:r>
      <w:r w:rsidRPr="004069E2">
        <w:rPr>
          <w:rFonts w:asciiTheme="minorHAnsi" w:hAnsiTheme="minorHAnsi" w:cstheme="minorHAnsi"/>
          <w:sz w:val="22"/>
          <w:szCs w:val="22"/>
          <w:bdr w:val="none" w:sz="0" w:space="0" w:color="auto" w:frame="1"/>
        </w:rPr>
        <w:t>PROSSEMA Engenharia e Meio Ambiente Ltda</w:t>
      </w:r>
      <w:r>
        <w:rPr>
          <w:rFonts w:asciiTheme="minorHAnsi" w:hAnsiTheme="minorHAnsi" w:cstheme="minorHAnsi"/>
          <w:sz w:val="22"/>
          <w:szCs w:val="22"/>
          <w:bdr w:val="none" w:sz="0" w:space="0" w:color="auto" w:frame="1"/>
        </w:rPr>
        <w:t>.</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sz w:val="22"/>
          <w:szCs w:val="22"/>
        </w:rPr>
        <w:br/>
        <w:t>3. Para fins do disposto no art. 9º, § 6º, da Instrução Normativa RFB nº 1436/2013, nossa empresa recolhe a contribuição previdenciária incidente sobre o valor da receita bruta, em substituição às contribuições previdenciárias incidentes sobre a folha de 0pagamento, previstas nos incisos I e III do caput do art. 22 da Lei nº 8.212, de 24 de julho de 1991, na forma do caput do art. 7º (ou 8º) da Lei nº 12.546, de 14 de dezembro de 2011. Sendo assim, será aceita a desoneração da folha de pagamento?</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b/>
          <w:sz w:val="22"/>
          <w:szCs w:val="22"/>
          <w:bdr w:val="none" w:sz="0" w:space="0" w:color="auto" w:frame="1"/>
        </w:rPr>
        <w:t>RESPOSTA</w:t>
      </w:r>
      <w:r w:rsidRPr="004069E2">
        <w:rPr>
          <w:rFonts w:asciiTheme="minorHAnsi" w:hAnsiTheme="minorHAnsi" w:cstheme="minorHAnsi"/>
          <w:sz w:val="22"/>
          <w:szCs w:val="22"/>
          <w:bdr w:val="none" w:sz="0" w:space="0" w:color="auto" w:frame="1"/>
        </w:rPr>
        <w:t xml:space="preserve">: </w:t>
      </w:r>
      <w:r w:rsidRPr="004069E2">
        <w:rPr>
          <w:rFonts w:asciiTheme="minorHAnsi" w:hAnsiTheme="minorHAnsi" w:cstheme="minorHAnsi"/>
          <w:sz w:val="22"/>
          <w:szCs w:val="22"/>
          <w:bdr w:val="none" w:sz="0" w:space="0" w:color="auto" w:frame="1"/>
        </w:rPr>
        <w:t>Sim, será aceita.</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sz w:val="22"/>
          <w:szCs w:val="22"/>
        </w:rPr>
        <w:br/>
        <w:t>4. No que se refere a qualificação técnica, o item 10.3.1 do edital afirma que ‘’deverá ser exigida a comprovação de aptidão de desempenho de atividade pertinente e compatível em características, quantidades e prazos com o objeto da licitação’’. Entendemos que deverá ser comprovado com atestado de capacidade técnica referente a gestão de mão de obra. Está correto nosso entendimento?</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b/>
          <w:sz w:val="22"/>
          <w:szCs w:val="22"/>
          <w:bdr w:val="none" w:sz="0" w:space="0" w:color="auto" w:frame="1"/>
        </w:rPr>
        <w:t>RESPOSTA</w:t>
      </w:r>
      <w:r>
        <w:rPr>
          <w:rFonts w:asciiTheme="minorHAnsi" w:hAnsiTheme="minorHAnsi" w:cstheme="minorHAnsi"/>
          <w:sz w:val="22"/>
          <w:szCs w:val="22"/>
          <w:bdr w:val="none" w:sz="0" w:space="0" w:color="auto" w:frame="1"/>
        </w:rPr>
        <w:t xml:space="preserve">: </w:t>
      </w:r>
      <w:r w:rsidRPr="004069E2">
        <w:rPr>
          <w:rFonts w:asciiTheme="minorHAnsi" w:hAnsiTheme="minorHAnsi" w:cstheme="minorHAnsi"/>
          <w:sz w:val="22"/>
          <w:szCs w:val="22"/>
          <w:bdr w:val="none" w:sz="0" w:space="0" w:color="auto" w:frame="1"/>
        </w:rPr>
        <w:t>Sim, gestão de mão de obra terceirizada.</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sz w:val="22"/>
          <w:szCs w:val="22"/>
        </w:rPr>
        <w:br/>
        <w:t xml:space="preserve">5. No que se refere a qualificação técnica, o item 10.3.1 do edital afirma que deverá ser exigida ‘’ indicação das instalações e do aparelhamento e do pessoal técnico adequados e disponíveis para a realização do objeto da licitação, bem como da qualificação de cada um dos membros da equipe técnica que se responsabilizará pelos </w:t>
      </w:r>
      <w:proofErr w:type="gramStart"/>
      <w:r w:rsidRPr="004069E2">
        <w:rPr>
          <w:rFonts w:asciiTheme="minorHAnsi" w:hAnsiTheme="minorHAnsi" w:cstheme="minorHAnsi"/>
          <w:sz w:val="22"/>
          <w:szCs w:val="22"/>
        </w:rPr>
        <w:t>trabalhos.’</w:t>
      </w:r>
      <w:proofErr w:type="gramEnd"/>
      <w:r w:rsidRPr="004069E2">
        <w:rPr>
          <w:rFonts w:asciiTheme="minorHAnsi" w:hAnsiTheme="minorHAnsi" w:cstheme="minorHAnsi"/>
          <w:sz w:val="22"/>
          <w:szCs w:val="22"/>
        </w:rPr>
        <w:t>’. Pergunta-se:</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sz w:val="22"/>
          <w:szCs w:val="22"/>
        </w:rPr>
        <w:t>           a. Sobre a indicação do pessoal técnico adequado, deverá ser relacionada toda a mão de obra exigida no termo de referência? Caso não, apenas dos especialistas? Caso não, apenas dos responsáveis técnicos que a empresa já possui em seu quadro? (</w:t>
      </w:r>
      <w:proofErr w:type="gramStart"/>
      <w:r w:rsidRPr="004069E2">
        <w:rPr>
          <w:rFonts w:asciiTheme="minorHAnsi" w:hAnsiTheme="minorHAnsi" w:cstheme="minorHAnsi"/>
          <w:sz w:val="22"/>
          <w:szCs w:val="22"/>
        </w:rPr>
        <w:t>como</w:t>
      </w:r>
      <w:proofErr w:type="gramEnd"/>
      <w:r w:rsidRPr="004069E2">
        <w:rPr>
          <w:rFonts w:asciiTheme="minorHAnsi" w:hAnsiTheme="minorHAnsi" w:cstheme="minorHAnsi"/>
          <w:sz w:val="22"/>
          <w:szCs w:val="22"/>
        </w:rPr>
        <w:t xml:space="preserve"> por exemplo, administrador RT)</w:t>
      </w:r>
    </w:p>
    <w:p w:rsidR="004069E2" w:rsidRPr="0063095E" w:rsidRDefault="0063095E" w:rsidP="004069E2">
      <w:pPr>
        <w:pStyle w:val="SemEspaamento"/>
        <w:rPr>
          <w:rFonts w:asciiTheme="minorHAnsi" w:hAnsiTheme="minorHAnsi" w:cstheme="minorHAnsi"/>
          <w:sz w:val="22"/>
          <w:szCs w:val="22"/>
        </w:rPr>
      </w:pPr>
      <w:r w:rsidRPr="0063095E">
        <w:rPr>
          <w:rFonts w:asciiTheme="minorHAnsi" w:hAnsiTheme="minorHAnsi" w:cstheme="minorHAnsi"/>
          <w:b/>
          <w:sz w:val="22"/>
          <w:szCs w:val="22"/>
          <w:bdr w:val="none" w:sz="0" w:space="0" w:color="auto" w:frame="1"/>
        </w:rPr>
        <w:t>RESPOSTA</w:t>
      </w:r>
      <w:r w:rsidRPr="0063095E">
        <w:rPr>
          <w:rFonts w:asciiTheme="minorHAnsi" w:hAnsiTheme="minorHAnsi" w:cstheme="minorHAnsi"/>
          <w:sz w:val="22"/>
          <w:szCs w:val="22"/>
          <w:bdr w:val="none" w:sz="0" w:space="0" w:color="auto" w:frame="1"/>
        </w:rPr>
        <w:t xml:space="preserve">: </w:t>
      </w:r>
      <w:r w:rsidR="004069E2" w:rsidRPr="0063095E">
        <w:rPr>
          <w:rFonts w:asciiTheme="minorHAnsi" w:hAnsiTheme="minorHAnsi" w:cstheme="minorHAnsi"/>
          <w:sz w:val="22"/>
          <w:szCs w:val="22"/>
          <w:bdr w:val="none" w:sz="0" w:space="0" w:color="auto" w:frame="1"/>
        </w:rPr>
        <w:t>Apenas, os especialistas.</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sz w:val="22"/>
          <w:szCs w:val="22"/>
        </w:rPr>
        <w:t>           b. Sobre a qualificação de cada um dos membros da equipe técnica que se responsabilizará pelos trabalhos, deverá ser apresentada de que forma para cada cargo?</w:t>
      </w:r>
    </w:p>
    <w:p w:rsidR="004069E2" w:rsidRDefault="0063095E" w:rsidP="004069E2">
      <w:pPr>
        <w:pStyle w:val="SemEspaamento"/>
        <w:rPr>
          <w:rFonts w:asciiTheme="minorHAnsi" w:hAnsiTheme="minorHAnsi" w:cstheme="minorHAnsi"/>
          <w:sz w:val="22"/>
          <w:szCs w:val="22"/>
          <w:bdr w:val="none" w:sz="0" w:space="0" w:color="auto" w:frame="1"/>
        </w:rPr>
      </w:pPr>
      <w:r w:rsidRPr="0063095E">
        <w:rPr>
          <w:rFonts w:asciiTheme="minorHAnsi" w:hAnsiTheme="minorHAnsi" w:cstheme="minorHAnsi"/>
          <w:b/>
          <w:sz w:val="22"/>
          <w:szCs w:val="22"/>
          <w:bdr w:val="none" w:sz="0" w:space="0" w:color="auto" w:frame="1"/>
        </w:rPr>
        <w:t>RESPOST</w:t>
      </w:r>
      <w:r w:rsidRPr="0063095E">
        <w:rPr>
          <w:rFonts w:asciiTheme="minorHAnsi" w:hAnsiTheme="minorHAnsi" w:cstheme="minorHAnsi"/>
          <w:sz w:val="22"/>
          <w:szCs w:val="22"/>
          <w:bdr w:val="none" w:sz="0" w:space="0" w:color="auto" w:frame="1"/>
        </w:rPr>
        <w:t xml:space="preserve">A: </w:t>
      </w:r>
      <w:r w:rsidR="004069E2" w:rsidRPr="0063095E">
        <w:rPr>
          <w:rFonts w:asciiTheme="minorHAnsi" w:hAnsiTheme="minorHAnsi" w:cstheme="minorHAnsi"/>
          <w:sz w:val="22"/>
          <w:szCs w:val="22"/>
          <w:bdr w:val="none" w:sz="0" w:space="0" w:color="auto" w:frame="1"/>
        </w:rPr>
        <w:t>Curriculum vitae</w:t>
      </w:r>
      <w:r>
        <w:rPr>
          <w:rFonts w:asciiTheme="minorHAnsi" w:hAnsiTheme="minorHAnsi" w:cstheme="minorHAnsi"/>
          <w:sz w:val="22"/>
          <w:szCs w:val="22"/>
          <w:bdr w:val="none" w:sz="0" w:space="0" w:color="auto" w:frame="1"/>
        </w:rPr>
        <w:t>.</w:t>
      </w:r>
    </w:p>
    <w:p w:rsidR="0063095E" w:rsidRPr="0063095E" w:rsidRDefault="0063095E" w:rsidP="004069E2">
      <w:pPr>
        <w:pStyle w:val="SemEspaamento"/>
        <w:rPr>
          <w:rFonts w:asciiTheme="minorHAnsi" w:hAnsiTheme="minorHAnsi" w:cstheme="minorHAnsi"/>
          <w:sz w:val="22"/>
          <w:szCs w:val="22"/>
        </w:rPr>
      </w:pP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sz w:val="22"/>
          <w:szCs w:val="22"/>
        </w:rPr>
        <w:t>6. Os colaboradores poderão ser contratados por regime de Pessoa Jurídica ou deverão ser contratados via CLT?</w:t>
      </w:r>
    </w:p>
    <w:p w:rsidR="004069E2" w:rsidRPr="0063095E" w:rsidRDefault="0063095E" w:rsidP="004069E2">
      <w:pPr>
        <w:pStyle w:val="SemEspaamento"/>
        <w:rPr>
          <w:rFonts w:asciiTheme="minorHAnsi" w:hAnsiTheme="minorHAnsi" w:cstheme="minorHAnsi"/>
          <w:sz w:val="22"/>
          <w:szCs w:val="22"/>
        </w:rPr>
      </w:pPr>
      <w:r w:rsidRPr="0063095E">
        <w:rPr>
          <w:rFonts w:asciiTheme="minorHAnsi" w:hAnsiTheme="minorHAnsi" w:cstheme="minorHAnsi"/>
          <w:b/>
          <w:sz w:val="22"/>
          <w:szCs w:val="22"/>
          <w:bdr w:val="none" w:sz="0" w:space="0" w:color="auto" w:frame="1"/>
        </w:rPr>
        <w:t>RESPOSTA</w:t>
      </w:r>
      <w:r w:rsidRPr="0063095E">
        <w:rPr>
          <w:rFonts w:asciiTheme="minorHAnsi" w:hAnsiTheme="minorHAnsi" w:cstheme="minorHAnsi"/>
          <w:sz w:val="22"/>
          <w:szCs w:val="22"/>
          <w:bdr w:val="none" w:sz="0" w:space="0" w:color="auto" w:frame="1"/>
        </w:rPr>
        <w:t xml:space="preserve">: </w:t>
      </w:r>
      <w:r w:rsidR="004069E2" w:rsidRPr="0063095E">
        <w:rPr>
          <w:rFonts w:asciiTheme="minorHAnsi" w:hAnsiTheme="minorHAnsi" w:cstheme="minorHAnsi"/>
          <w:sz w:val="22"/>
          <w:szCs w:val="22"/>
          <w:bdr w:val="none" w:sz="0" w:space="0" w:color="auto" w:frame="1"/>
        </w:rPr>
        <w:t>A planilha de custo foi definida com contração via CLT.</w:t>
      </w:r>
    </w:p>
    <w:p w:rsidR="004069E2" w:rsidRPr="004069E2" w:rsidRDefault="004069E2" w:rsidP="004069E2">
      <w:pPr>
        <w:pStyle w:val="SemEspaamento"/>
        <w:rPr>
          <w:rFonts w:asciiTheme="minorHAnsi" w:hAnsiTheme="minorHAnsi" w:cstheme="minorHAnsi"/>
          <w:sz w:val="22"/>
          <w:szCs w:val="22"/>
        </w:rPr>
      </w:pPr>
      <w:r w:rsidRPr="004069E2">
        <w:rPr>
          <w:rFonts w:asciiTheme="minorHAnsi" w:hAnsiTheme="minorHAnsi" w:cstheme="minorHAnsi"/>
          <w:sz w:val="22"/>
          <w:szCs w:val="22"/>
        </w:rPr>
        <w:br/>
        <w:t>7. Tendo em vista a habilitação técnica exigida no subitem 10.2.1 do edital em tela, e a necessidade de comprovação “da qualificação de cada um dos membros da equipe técnica que se responsabilizará pelos trabalhos”, temos a perguntar:</w:t>
      </w:r>
    </w:p>
    <w:p w:rsidR="004069E2" w:rsidRPr="004069E2" w:rsidRDefault="004069E2" w:rsidP="00A01934">
      <w:pPr>
        <w:pStyle w:val="SemEspaamento"/>
        <w:jc w:val="both"/>
        <w:rPr>
          <w:rFonts w:asciiTheme="minorHAnsi" w:hAnsiTheme="minorHAnsi" w:cstheme="minorHAnsi"/>
          <w:sz w:val="22"/>
          <w:szCs w:val="22"/>
        </w:rPr>
      </w:pPr>
      <w:r w:rsidRPr="004069E2">
        <w:rPr>
          <w:rFonts w:asciiTheme="minorHAnsi" w:hAnsiTheme="minorHAnsi" w:cstheme="minorHAnsi"/>
          <w:sz w:val="22"/>
          <w:szCs w:val="22"/>
        </w:rPr>
        <w:lastRenderedPageBreak/>
        <w:br/>
        <w:t>          a. Será necessário a comprovação desde já de vínculo de tais profissionais com a empresa participante?</w:t>
      </w:r>
    </w:p>
    <w:p w:rsidR="004069E2" w:rsidRPr="00A01934" w:rsidRDefault="00A01934" w:rsidP="00A01934">
      <w:pPr>
        <w:pStyle w:val="SemEspaamento"/>
        <w:jc w:val="both"/>
        <w:rPr>
          <w:rFonts w:asciiTheme="minorHAnsi" w:hAnsiTheme="minorHAnsi" w:cstheme="minorHAnsi"/>
          <w:sz w:val="22"/>
          <w:szCs w:val="22"/>
        </w:rPr>
      </w:pPr>
      <w:r w:rsidRPr="00A01934">
        <w:rPr>
          <w:rFonts w:asciiTheme="minorHAnsi" w:hAnsiTheme="minorHAnsi" w:cstheme="minorHAnsi"/>
          <w:b/>
          <w:sz w:val="22"/>
          <w:szCs w:val="22"/>
          <w:bdr w:val="none" w:sz="0" w:space="0" w:color="auto" w:frame="1"/>
        </w:rPr>
        <w:t>RESPOSTA</w:t>
      </w:r>
      <w:r w:rsidRPr="00A01934">
        <w:rPr>
          <w:rFonts w:asciiTheme="minorHAnsi" w:hAnsiTheme="minorHAnsi" w:cstheme="minorHAnsi"/>
          <w:sz w:val="22"/>
          <w:szCs w:val="22"/>
          <w:bdr w:val="none" w:sz="0" w:space="0" w:color="auto" w:frame="1"/>
        </w:rPr>
        <w:t xml:space="preserve">: </w:t>
      </w:r>
      <w:r w:rsidR="004069E2" w:rsidRPr="00A01934">
        <w:rPr>
          <w:rFonts w:asciiTheme="minorHAnsi" w:hAnsiTheme="minorHAnsi" w:cstheme="minorHAnsi"/>
          <w:sz w:val="22"/>
          <w:szCs w:val="22"/>
          <w:bdr w:val="none" w:sz="0" w:space="0" w:color="auto" w:frame="1"/>
        </w:rPr>
        <w:t>Não.</w:t>
      </w:r>
    </w:p>
    <w:p w:rsidR="004069E2" w:rsidRPr="004069E2" w:rsidRDefault="004069E2" w:rsidP="00A01934">
      <w:pPr>
        <w:pStyle w:val="SemEspaamento"/>
        <w:jc w:val="both"/>
        <w:rPr>
          <w:rFonts w:asciiTheme="minorHAnsi" w:hAnsiTheme="minorHAnsi" w:cstheme="minorHAnsi"/>
          <w:sz w:val="22"/>
          <w:szCs w:val="22"/>
        </w:rPr>
      </w:pPr>
      <w:r w:rsidRPr="004069E2">
        <w:rPr>
          <w:rFonts w:asciiTheme="minorHAnsi" w:hAnsiTheme="minorHAnsi" w:cstheme="minorHAnsi"/>
          <w:sz w:val="22"/>
          <w:szCs w:val="22"/>
        </w:rPr>
        <w:br/>
        <w:t>          b. Considerando o profissional especialista em “aquisições” previsto no item 6 do termo de Referência, e sobretudo a natureza jurídica do perfil exigido e a quantidade de profissionais a serem disponibilizados (2), pergunta-se:</w:t>
      </w:r>
    </w:p>
    <w:p w:rsidR="004069E2" w:rsidRPr="004069E2" w:rsidRDefault="004069E2" w:rsidP="00A01934">
      <w:pPr>
        <w:pStyle w:val="SemEspaamento"/>
        <w:jc w:val="both"/>
        <w:rPr>
          <w:rFonts w:asciiTheme="minorHAnsi" w:hAnsiTheme="minorHAnsi" w:cstheme="minorHAnsi"/>
          <w:sz w:val="22"/>
          <w:szCs w:val="22"/>
        </w:rPr>
      </w:pPr>
      <w:r w:rsidRPr="004069E2">
        <w:rPr>
          <w:rFonts w:asciiTheme="minorHAnsi" w:hAnsiTheme="minorHAnsi" w:cstheme="minorHAnsi"/>
          <w:sz w:val="22"/>
          <w:szCs w:val="22"/>
        </w:rPr>
        <w:br/>
        <w:t>                       i. A comprovação de experiência pertence a empresa licitante, sendo assim, uma vez que a exigência possui natureza operacional, e ainda, exigível tão somente da empresa a ser contratada (privilegiando assim o Princípio da Ampla Participação), há necessidade de comprovar possuir os 2 profissionais com o perfil desejado?</w:t>
      </w:r>
    </w:p>
    <w:p w:rsidR="004069E2" w:rsidRPr="00A01934" w:rsidRDefault="00A01934" w:rsidP="00A01934">
      <w:pPr>
        <w:pStyle w:val="SemEspaamento"/>
        <w:jc w:val="both"/>
        <w:rPr>
          <w:rFonts w:asciiTheme="minorHAnsi" w:hAnsiTheme="minorHAnsi" w:cstheme="minorHAnsi"/>
          <w:sz w:val="22"/>
          <w:szCs w:val="22"/>
        </w:rPr>
      </w:pPr>
      <w:r w:rsidRPr="00A01934">
        <w:rPr>
          <w:rFonts w:asciiTheme="minorHAnsi" w:hAnsiTheme="minorHAnsi" w:cstheme="minorHAnsi"/>
          <w:b/>
          <w:sz w:val="22"/>
          <w:szCs w:val="22"/>
          <w:bdr w:val="none" w:sz="0" w:space="0" w:color="auto" w:frame="1"/>
        </w:rPr>
        <w:t>RESPOSTA</w:t>
      </w:r>
      <w:r w:rsidRPr="00A01934">
        <w:rPr>
          <w:rFonts w:asciiTheme="minorHAnsi" w:hAnsiTheme="minorHAnsi" w:cstheme="minorHAnsi"/>
          <w:sz w:val="22"/>
          <w:szCs w:val="22"/>
          <w:bdr w:val="none" w:sz="0" w:space="0" w:color="auto" w:frame="1"/>
        </w:rPr>
        <w:t xml:space="preserve">: </w:t>
      </w:r>
      <w:r w:rsidR="004069E2" w:rsidRPr="00A01934">
        <w:rPr>
          <w:rFonts w:asciiTheme="minorHAnsi" w:hAnsiTheme="minorHAnsi" w:cstheme="minorHAnsi"/>
          <w:sz w:val="22"/>
          <w:szCs w:val="22"/>
          <w:bdr w:val="none" w:sz="0" w:space="0" w:color="auto" w:frame="1"/>
        </w:rPr>
        <w:t xml:space="preserve">Sim, a quantidade dos profissionais foi definida de acordo com a prévia necessidade de apoiarem a UGP no cumprimento de suas responsabilidades e nas ações integrantes do Programa, considerando as demandas preexistentes e as futuras, sendo necessário que a empresa comprove a experiência com os dois profissionais com o perfil estipulado no Instrumento </w:t>
      </w:r>
      <w:proofErr w:type="spellStart"/>
      <w:r w:rsidR="004069E2" w:rsidRPr="00A01934">
        <w:rPr>
          <w:rFonts w:asciiTheme="minorHAnsi" w:hAnsiTheme="minorHAnsi" w:cstheme="minorHAnsi"/>
          <w:sz w:val="22"/>
          <w:szCs w:val="22"/>
          <w:bdr w:val="none" w:sz="0" w:space="0" w:color="auto" w:frame="1"/>
        </w:rPr>
        <w:t>Editalício</w:t>
      </w:r>
      <w:proofErr w:type="spellEnd"/>
      <w:r w:rsidR="004069E2" w:rsidRPr="00A01934">
        <w:rPr>
          <w:rFonts w:asciiTheme="minorHAnsi" w:hAnsiTheme="minorHAnsi" w:cstheme="minorHAnsi"/>
          <w:sz w:val="22"/>
          <w:szCs w:val="22"/>
          <w:bdr w:val="none" w:sz="0" w:space="0" w:color="auto" w:frame="1"/>
        </w:rPr>
        <w:t>.</w:t>
      </w:r>
    </w:p>
    <w:p w:rsidR="004069E2" w:rsidRPr="004069E2" w:rsidRDefault="004069E2" w:rsidP="00A01934">
      <w:pPr>
        <w:pStyle w:val="SemEspaamento"/>
        <w:jc w:val="both"/>
        <w:rPr>
          <w:rFonts w:asciiTheme="minorHAnsi" w:hAnsiTheme="minorHAnsi" w:cstheme="minorHAnsi"/>
          <w:sz w:val="22"/>
          <w:szCs w:val="22"/>
        </w:rPr>
      </w:pPr>
      <w:r w:rsidRPr="004069E2">
        <w:rPr>
          <w:rFonts w:asciiTheme="minorHAnsi" w:hAnsiTheme="minorHAnsi" w:cstheme="minorHAnsi"/>
          <w:sz w:val="22"/>
          <w:szCs w:val="22"/>
        </w:rPr>
        <w:br/>
        <w:t>                       </w:t>
      </w:r>
      <w:proofErr w:type="spellStart"/>
      <w:r w:rsidRPr="004069E2">
        <w:rPr>
          <w:rFonts w:asciiTheme="minorHAnsi" w:hAnsiTheme="minorHAnsi" w:cstheme="minorHAnsi"/>
          <w:sz w:val="22"/>
          <w:szCs w:val="22"/>
        </w:rPr>
        <w:t>ii</w:t>
      </w:r>
      <w:proofErr w:type="spellEnd"/>
      <w:r w:rsidRPr="004069E2">
        <w:rPr>
          <w:rFonts w:asciiTheme="minorHAnsi" w:hAnsiTheme="minorHAnsi" w:cstheme="minorHAnsi"/>
          <w:sz w:val="22"/>
          <w:szCs w:val="22"/>
        </w:rPr>
        <w:t>. Considerando que profissionais com formação superior em direito não são necessariamente habilitados a exercer o ofício da advocacia, e ainda, tratando-se sabidamente de uma classe profissional cujas atividades são em sua grande maioria exercidas sob a forma de assessoria e/ou consultoria, por vezes até mesmo sem a formalização de contrato, comprovação de tal quadro poderá se dar com a apresentação de diploma de bacharel em direito em conjunto com especialização lato sensu ou MBA em segmentos aderentes ao perfil desejado, tais como: “Direito Administrativo”, “Direito Empresarial” ou “Direito Financeiro”?</w:t>
      </w:r>
    </w:p>
    <w:p w:rsidR="004069E2" w:rsidRPr="00A01934" w:rsidRDefault="00A01934" w:rsidP="00A01934">
      <w:pPr>
        <w:pStyle w:val="SemEspaamento"/>
        <w:jc w:val="both"/>
        <w:rPr>
          <w:rFonts w:asciiTheme="minorHAnsi" w:hAnsiTheme="minorHAnsi" w:cstheme="minorHAnsi"/>
          <w:sz w:val="22"/>
          <w:szCs w:val="22"/>
        </w:rPr>
      </w:pPr>
      <w:r w:rsidRPr="00A01934">
        <w:rPr>
          <w:rFonts w:asciiTheme="minorHAnsi" w:hAnsiTheme="minorHAnsi" w:cstheme="minorHAnsi"/>
          <w:b/>
          <w:sz w:val="22"/>
          <w:szCs w:val="22"/>
          <w:bdr w:val="none" w:sz="0" w:space="0" w:color="auto" w:frame="1"/>
        </w:rPr>
        <w:t>RESPOSTA</w:t>
      </w:r>
      <w:r w:rsidRPr="00A01934">
        <w:rPr>
          <w:rFonts w:asciiTheme="minorHAnsi" w:hAnsiTheme="minorHAnsi" w:cstheme="minorHAnsi"/>
          <w:sz w:val="22"/>
          <w:szCs w:val="22"/>
          <w:bdr w:val="none" w:sz="0" w:space="0" w:color="auto" w:frame="1"/>
        </w:rPr>
        <w:t xml:space="preserve">: </w:t>
      </w:r>
      <w:r w:rsidR="004069E2" w:rsidRPr="00A01934">
        <w:rPr>
          <w:rFonts w:asciiTheme="minorHAnsi" w:hAnsiTheme="minorHAnsi" w:cstheme="minorHAnsi"/>
          <w:sz w:val="22"/>
          <w:szCs w:val="22"/>
          <w:bdr w:val="none" w:sz="0" w:space="0" w:color="auto" w:frame="1"/>
        </w:rPr>
        <w:t>Não será aceito pelos motivos relacionados a seguir</w:t>
      </w:r>
      <w:r>
        <w:rPr>
          <w:rFonts w:asciiTheme="minorHAnsi" w:hAnsiTheme="minorHAnsi" w:cstheme="minorHAnsi"/>
          <w:sz w:val="22"/>
          <w:szCs w:val="22"/>
          <w:bdr w:val="none" w:sz="0" w:space="0" w:color="auto" w:frame="1"/>
        </w:rPr>
        <w:t>:</w:t>
      </w:r>
    </w:p>
    <w:p w:rsidR="004069E2" w:rsidRPr="004069E2" w:rsidRDefault="004069E2" w:rsidP="00A01934">
      <w:pPr>
        <w:pStyle w:val="SemEspaamento"/>
        <w:jc w:val="both"/>
        <w:rPr>
          <w:rFonts w:asciiTheme="minorHAnsi" w:hAnsiTheme="minorHAnsi" w:cstheme="minorHAnsi"/>
          <w:sz w:val="22"/>
          <w:szCs w:val="22"/>
        </w:rPr>
      </w:pPr>
      <w:r w:rsidRPr="004069E2">
        <w:rPr>
          <w:rFonts w:asciiTheme="minorHAnsi" w:hAnsiTheme="minorHAnsi" w:cstheme="minorHAnsi"/>
          <w:color w:val="FF0000"/>
          <w:sz w:val="22"/>
          <w:szCs w:val="22"/>
          <w:bdr w:val="none" w:sz="0" w:space="0" w:color="auto" w:frame="1"/>
        </w:rPr>
        <w:t> </w:t>
      </w:r>
    </w:p>
    <w:p w:rsidR="004069E2" w:rsidRPr="00A01934" w:rsidRDefault="004069E2" w:rsidP="00A01934">
      <w:pPr>
        <w:pStyle w:val="SemEspaamento"/>
        <w:jc w:val="both"/>
        <w:rPr>
          <w:rFonts w:asciiTheme="minorHAnsi" w:hAnsiTheme="minorHAnsi" w:cstheme="minorHAnsi"/>
          <w:sz w:val="22"/>
          <w:szCs w:val="22"/>
        </w:rPr>
      </w:pPr>
      <w:r w:rsidRPr="004069E2">
        <w:rPr>
          <w:rFonts w:asciiTheme="minorHAnsi" w:hAnsiTheme="minorHAnsi" w:cstheme="minorHAnsi"/>
          <w:color w:val="FF0000"/>
          <w:sz w:val="22"/>
          <w:szCs w:val="22"/>
          <w:bdr w:val="none" w:sz="0" w:space="0" w:color="auto" w:frame="1"/>
        </w:rPr>
        <w:t> </w:t>
      </w:r>
      <w:r w:rsidRPr="00A01934">
        <w:rPr>
          <w:rFonts w:asciiTheme="minorHAnsi" w:hAnsiTheme="minorHAnsi" w:cstheme="minorHAnsi"/>
          <w:sz w:val="22"/>
          <w:szCs w:val="22"/>
          <w:bdr w:val="none" w:sz="0" w:space="0" w:color="auto" w:frame="1"/>
        </w:rPr>
        <w:t>Na forma do art. 1º, Inciso II, da Lei 8.906/94 (Estatuto da Advocacia e a Ordem dos Advogados do Brasil (OAB), “são atividades privativas de advocacia:</w:t>
      </w:r>
    </w:p>
    <w:p w:rsidR="004069E2" w:rsidRPr="00A01934" w:rsidRDefault="004069E2" w:rsidP="00A01934">
      <w:pPr>
        <w:pStyle w:val="SemEspaamento"/>
        <w:jc w:val="both"/>
        <w:rPr>
          <w:rFonts w:asciiTheme="minorHAnsi" w:hAnsiTheme="minorHAnsi" w:cstheme="minorHAnsi"/>
          <w:sz w:val="22"/>
          <w:szCs w:val="22"/>
        </w:rPr>
      </w:pPr>
      <w:r w:rsidRPr="00A01934">
        <w:rPr>
          <w:rFonts w:asciiTheme="minorHAnsi" w:hAnsiTheme="minorHAnsi" w:cstheme="minorHAnsi"/>
          <w:sz w:val="22"/>
          <w:szCs w:val="22"/>
          <w:bdr w:val="none" w:sz="0" w:space="0" w:color="auto" w:frame="1"/>
        </w:rPr>
        <w:t>I-                   (...).</w:t>
      </w:r>
    </w:p>
    <w:p w:rsidR="004069E2" w:rsidRPr="00A01934" w:rsidRDefault="004069E2" w:rsidP="00A01934">
      <w:pPr>
        <w:pStyle w:val="SemEspaamento"/>
        <w:jc w:val="both"/>
        <w:rPr>
          <w:rFonts w:asciiTheme="minorHAnsi" w:hAnsiTheme="minorHAnsi" w:cstheme="minorHAnsi"/>
          <w:sz w:val="22"/>
          <w:szCs w:val="22"/>
        </w:rPr>
      </w:pPr>
      <w:r w:rsidRPr="00A01934">
        <w:rPr>
          <w:rFonts w:asciiTheme="minorHAnsi" w:hAnsiTheme="minorHAnsi" w:cstheme="minorHAnsi"/>
          <w:sz w:val="22"/>
          <w:szCs w:val="22"/>
          <w:bdr w:val="none" w:sz="0" w:space="0" w:color="auto" w:frame="1"/>
        </w:rPr>
        <w:t>II-               </w:t>
      </w:r>
      <w:proofErr w:type="gramStart"/>
      <w:r w:rsidRPr="00A01934">
        <w:rPr>
          <w:rFonts w:asciiTheme="minorHAnsi" w:hAnsiTheme="minorHAnsi" w:cstheme="minorHAnsi"/>
          <w:sz w:val="22"/>
          <w:szCs w:val="22"/>
          <w:bdr w:val="none" w:sz="0" w:space="0" w:color="auto" w:frame="1"/>
        </w:rPr>
        <w:t> As</w:t>
      </w:r>
      <w:proofErr w:type="gramEnd"/>
      <w:r w:rsidRPr="00A01934">
        <w:rPr>
          <w:rFonts w:asciiTheme="minorHAnsi" w:hAnsiTheme="minorHAnsi" w:cstheme="minorHAnsi"/>
          <w:sz w:val="22"/>
          <w:szCs w:val="22"/>
          <w:bdr w:val="none" w:sz="0" w:space="0" w:color="auto" w:frame="1"/>
        </w:rPr>
        <w:t xml:space="preserve"> atividades de </w:t>
      </w:r>
      <w:r w:rsidRPr="00A01934">
        <w:rPr>
          <w:rFonts w:asciiTheme="minorHAnsi" w:hAnsiTheme="minorHAnsi" w:cstheme="minorHAnsi"/>
          <w:b/>
          <w:bCs/>
          <w:sz w:val="22"/>
          <w:szCs w:val="22"/>
          <w:bdr w:val="none" w:sz="0" w:space="0" w:color="auto" w:frame="1"/>
        </w:rPr>
        <w:t>consultoria, assessoria</w:t>
      </w:r>
      <w:r w:rsidRPr="00A01934">
        <w:rPr>
          <w:rFonts w:asciiTheme="minorHAnsi" w:hAnsiTheme="minorHAnsi" w:cstheme="minorHAnsi"/>
          <w:sz w:val="22"/>
          <w:szCs w:val="22"/>
          <w:bdr w:val="none" w:sz="0" w:space="0" w:color="auto" w:frame="1"/>
        </w:rPr>
        <w:t xml:space="preserve">, e </w:t>
      </w:r>
      <w:proofErr w:type="spellStart"/>
      <w:r w:rsidRPr="00A01934">
        <w:rPr>
          <w:rFonts w:asciiTheme="minorHAnsi" w:hAnsiTheme="minorHAnsi" w:cstheme="minorHAnsi"/>
          <w:sz w:val="22"/>
          <w:szCs w:val="22"/>
          <w:bdr w:val="none" w:sz="0" w:space="0" w:color="auto" w:frame="1"/>
        </w:rPr>
        <w:t>direcão</w:t>
      </w:r>
      <w:proofErr w:type="spellEnd"/>
      <w:r w:rsidRPr="00A01934">
        <w:rPr>
          <w:rFonts w:asciiTheme="minorHAnsi" w:hAnsiTheme="minorHAnsi" w:cstheme="minorHAnsi"/>
          <w:sz w:val="22"/>
          <w:szCs w:val="22"/>
          <w:bdr w:val="none" w:sz="0" w:space="0" w:color="auto" w:frame="1"/>
        </w:rPr>
        <w:t xml:space="preserve"> jurídicas. (Grifo </w:t>
      </w:r>
      <w:proofErr w:type="gramStart"/>
      <w:r w:rsidRPr="00A01934">
        <w:rPr>
          <w:rFonts w:asciiTheme="minorHAnsi" w:hAnsiTheme="minorHAnsi" w:cstheme="minorHAnsi"/>
          <w:sz w:val="22"/>
          <w:szCs w:val="22"/>
          <w:bdr w:val="none" w:sz="0" w:space="0" w:color="auto" w:frame="1"/>
        </w:rPr>
        <w:t>Nosso)”</w:t>
      </w:r>
      <w:proofErr w:type="gramEnd"/>
    </w:p>
    <w:p w:rsidR="004069E2" w:rsidRPr="00A01934" w:rsidRDefault="004069E2" w:rsidP="00A01934">
      <w:pPr>
        <w:pStyle w:val="SemEspaamento"/>
        <w:jc w:val="both"/>
        <w:rPr>
          <w:rFonts w:asciiTheme="minorHAnsi" w:hAnsiTheme="minorHAnsi" w:cstheme="minorHAnsi"/>
          <w:sz w:val="22"/>
          <w:szCs w:val="22"/>
        </w:rPr>
      </w:pPr>
      <w:r w:rsidRPr="00A01934">
        <w:rPr>
          <w:rFonts w:asciiTheme="minorHAnsi" w:hAnsiTheme="minorHAnsi" w:cstheme="minorHAnsi"/>
          <w:sz w:val="22"/>
          <w:szCs w:val="22"/>
          <w:bdr w:val="none" w:sz="0" w:space="0" w:color="auto" w:frame="1"/>
        </w:rPr>
        <w:t xml:space="preserve">Assim, resta claro e inequívoco a necessidade </w:t>
      </w:r>
      <w:proofErr w:type="gramStart"/>
      <w:r w:rsidRPr="00A01934">
        <w:rPr>
          <w:rFonts w:asciiTheme="minorHAnsi" w:hAnsiTheme="minorHAnsi" w:cstheme="minorHAnsi"/>
          <w:sz w:val="22"/>
          <w:szCs w:val="22"/>
          <w:bdr w:val="none" w:sz="0" w:space="0" w:color="auto" w:frame="1"/>
        </w:rPr>
        <w:t>do</w:t>
      </w:r>
      <w:proofErr w:type="gramEnd"/>
      <w:r w:rsidRPr="00A01934">
        <w:rPr>
          <w:rFonts w:asciiTheme="minorHAnsi" w:hAnsiTheme="minorHAnsi" w:cstheme="minorHAnsi"/>
          <w:sz w:val="22"/>
          <w:szCs w:val="22"/>
          <w:bdr w:val="none" w:sz="0" w:space="0" w:color="auto" w:frame="1"/>
        </w:rPr>
        <w:t xml:space="preserve"> Especialista em Aquisições estar inscrito na OAB, a fim de exercer as suas regulares atividades, conforme exigência do Instrumento </w:t>
      </w:r>
      <w:proofErr w:type="spellStart"/>
      <w:r w:rsidRPr="00A01934">
        <w:rPr>
          <w:rFonts w:asciiTheme="minorHAnsi" w:hAnsiTheme="minorHAnsi" w:cstheme="minorHAnsi"/>
          <w:sz w:val="22"/>
          <w:szCs w:val="22"/>
          <w:bdr w:val="none" w:sz="0" w:space="0" w:color="auto" w:frame="1"/>
        </w:rPr>
        <w:t>Editalício</w:t>
      </w:r>
      <w:proofErr w:type="spellEnd"/>
      <w:r w:rsidRPr="00A01934">
        <w:rPr>
          <w:rFonts w:asciiTheme="minorHAnsi" w:hAnsiTheme="minorHAnsi" w:cstheme="minorHAnsi"/>
          <w:sz w:val="22"/>
          <w:szCs w:val="22"/>
          <w:bdr w:val="none" w:sz="0" w:space="0" w:color="auto" w:frame="1"/>
        </w:rPr>
        <w:t>, em consonância com o art. 3º da mesma Lei citada acima, conforme abaixo disposto:</w:t>
      </w:r>
    </w:p>
    <w:p w:rsidR="004069E2" w:rsidRPr="00A01934" w:rsidRDefault="004069E2" w:rsidP="00A01934">
      <w:pPr>
        <w:pStyle w:val="SemEspaamento"/>
        <w:jc w:val="both"/>
        <w:rPr>
          <w:rFonts w:asciiTheme="minorHAnsi" w:hAnsiTheme="minorHAnsi" w:cstheme="minorHAnsi"/>
          <w:sz w:val="22"/>
          <w:szCs w:val="22"/>
        </w:rPr>
      </w:pPr>
      <w:r w:rsidRPr="00A01934">
        <w:rPr>
          <w:rFonts w:asciiTheme="minorHAnsi" w:hAnsiTheme="minorHAnsi" w:cstheme="minorHAnsi"/>
          <w:sz w:val="22"/>
          <w:szCs w:val="22"/>
          <w:bdr w:val="none" w:sz="0" w:space="0" w:color="auto" w:frame="1"/>
        </w:rPr>
        <w:t xml:space="preserve">“Art. 3º. O exercício da atividade de advocacia no território brasileiro e a denominação de advogado são privativos dos inscritos na </w:t>
      </w:r>
      <w:proofErr w:type="gramStart"/>
      <w:r w:rsidRPr="00A01934">
        <w:rPr>
          <w:rFonts w:asciiTheme="minorHAnsi" w:hAnsiTheme="minorHAnsi" w:cstheme="minorHAnsi"/>
          <w:sz w:val="22"/>
          <w:szCs w:val="22"/>
          <w:bdr w:val="none" w:sz="0" w:space="0" w:color="auto" w:frame="1"/>
        </w:rPr>
        <w:t>Ordem  dos</w:t>
      </w:r>
      <w:proofErr w:type="gramEnd"/>
      <w:r w:rsidRPr="00A01934">
        <w:rPr>
          <w:rFonts w:asciiTheme="minorHAnsi" w:hAnsiTheme="minorHAnsi" w:cstheme="minorHAnsi"/>
          <w:sz w:val="22"/>
          <w:szCs w:val="22"/>
          <w:bdr w:val="none" w:sz="0" w:space="0" w:color="auto" w:frame="1"/>
        </w:rPr>
        <w:t xml:space="preserve"> Advogados do Brasil (OAB).”</w:t>
      </w:r>
    </w:p>
    <w:p w:rsidR="004069E2" w:rsidRPr="00A01934" w:rsidRDefault="004069E2" w:rsidP="00A01934">
      <w:pPr>
        <w:pStyle w:val="SemEspaamento"/>
        <w:jc w:val="both"/>
        <w:rPr>
          <w:rFonts w:asciiTheme="minorHAnsi" w:hAnsiTheme="minorHAnsi" w:cstheme="minorHAnsi"/>
          <w:sz w:val="22"/>
          <w:szCs w:val="22"/>
        </w:rPr>
      </w:pPr>
      <w:r w:rsidRPr="00A01934">
        <w:rPr>
          <w:rFonts w:asciiTheme="minorHAnsi" w:hAnsiTheme="minorHAnsi" w:cstheme="minorHAnsi"/>
          <w:sz w:val="22"/>
          <w:szCs w:val="22"/>
          <w:bdr w:val="none" w:sz="0" w:space="0" w:color="auto" w:frame="1"/>
        </w:rPr>
        <w:t xml:space="preserve">Depreende-se, então, das normas legais </w:t>
      </w:r>
      <w:bookmarkStart w:id="0" w:name="_GoBack"/>
      <w:bookmarkEnd w:id="0"/>
      <w:r w:rsidRPr="00A01934">
        <w:rPr>
          <w:rFonts w:asciiTheme="minorHAnsi" w:hAnsiTheme="minorHAnsi" w:cstheme="minorHAnsi"/>
          <w:sz w:val="22"/>
          <w:szCs w:val="22"/>
          <w:bdr w:val="none" w:sz="0" w:space="0" w:color="auto" w:frame="1"/>
        </w:rPr>
        <w:t>supramencionadas, que se o Especialista em Aquisições não estiver inscrito na OAB, poderá, inclusive, haver sanções civis, penais e administrativas na forma do Art. 4º do citado Estatuto, o qual dispõe, ainda, que são nulos os atos privativos de advogado praticados por pessoas não inscritas na OAB.</w:t>
      </w:r>
    </w:p>
    <w:p w:rsidR="00AE3522" w:rsidRPr="004069E2" w:rsidRDefault="00AE3522" w:rsidP="00A01934">
      <w:pPr>
        <w:pStyle w:val="SemEspaamento"/>
        <w:jc w:val="both"/>
        <w:rPr>
          <w:rFonts w:asciiTheme="minorHAnsi" w:hAnsiTheme="minorHAnsi" w:cstheme="minorHAnsi"/>
          <w:bCs/>
          <w:i/>
          <w:sz w:val="22"/>
          <w:szCs w:val="22"/>
          <w:lang w:eastAsia="pt-BR"/>
        </w:rPr>
      </w:pPr>
    </w:p>
    <w:p w:rsidR="00C71EF1" w:rsidRPr="004069E2" w:rsidRDefault="00C71EF1" w:rsidP="00A01934">
      <w:pPr>
        <w:pStyle w:val="SemEspaamento"/>
        <w:jc w:val="both"/>
        <w:rPr>
          <w:rFonts w:asciiTheme="minorHAnsi" w:hAnsiTheme="minorHAnsi" w:cstheme="minorHAnsi"/>
          <w:bCs/>
          <w:i/>
          <w:sz w:val="22"/>
          <w:szCs w:val="22"/>
          <w:lang w:eastAsia="pt-BR"/>
        </w:rPr>
      </w:pPr>
      <w:r w:rsidRPr="004069E2">
        <w:rPr>
          <w:rFonts w:asciiTheme="minorHAnsi" w:hAnsiTheme="minorHAnsi" w:cstheme="minorHAnsi"/>
          <w:bCs/>
          <w:i/>
          <w:sz w:val="22"/>
          <w:szCs w:val="22"/>
          <w:lang w:eastAsia="pt-BR"/>
        </w:rPr>
        <w:t>Atenciosamente,</w:t>
      </w:r>
    </w:p>
    <w:p w:rsidR="00C71EF1" w:rsidRPr="004069E2" w:rsidRDefault="00C71EF1" w:rsidP="00A01934">
      <w:pPr>
        <w:pStyle w:val="SemEspaamento"/>
        <w:jc w:val="both"/>
        <w:rPr>
          <w:rFonts w:asciiTheme="minorHAnsi" w:hAnsiTheme="minorHAnsi" w:cstheme="minorHAnsi"/>
          <w:bCs/>
          <w:i/>
          <w:sz w:val="22"/>
          <w:szCs w:val="22"/>
          <w:lang w:eastAsia="pt-BR"/>
        </w:rPr>
      </w:pPr>
    </w:p>
    <w:p w:rsidR="00CB0A11" w:rsidRPr="004069E2" w:rsidRDefault="00FD69F3" w:rsidP="00A01934">
      <w:pPr>
        <w:pStyle w:val="SemEspaamento"/>
        <w:jc w:val="both"/>
        <w:rPr>
          <w:rFonts w:asciiTheme="minorHAnsi" w:hAnsiTheme="minorHAnsi" w:cstheme="minorHAnsi"/>
          <w:bCs/>
          <w:i/>
          <w:sz w:val="22"/>
          <w:szCs w:val="22"/>
          <w:lang w:eastAsia="pt-BR"/>
        </w:rPr>
      </w:pPr>
      <w:r w:rsidRPr="004069E2">
        <w:rPr>
          <w:rFonts w:asciiTheme="minorHAnsi" w:hAnsiTheme="minorHAnsi" w:cstheme="minorHAnsi"/>
          <w:bCs/>
          <w:i/>
          <w:sz w:val="22"/>
          <w:szCs w:val="22"/>
          <w:lang w:eastAsia="pt-BR"/>
        </w:rPr>
        <w:t xml:space="preserve">Secretaria </w:t>
      </w:r>
      <w:r w:rsidR="00D649FE" w:rsidRPr="004069E2">
        <w:rPr>
          <w:rFonts w:asciiTheme="minorHAnsi" w:hAnsiTheme="minorHAnsi" w:cstheme="minorHAnsi"/>
          <w:bCs/>
          <w:i/>
          <w:sz w:val="22"/>
          <w:szCs w:val="22"/>
          <w:lang w:eastAsia="pt-BR"/>
        </w:rPr>
        <w:t xml:space="preserve">Municipal de </w:t>
      </w:r>
      <w:r w:rsidR="00CB0A11" w:rsidRPr="004069E2">
        <w:rPr>
          <w:rFonts w:asciiTheme="minorHAnsi" w:hAnsiTheme="minorHAnsi" w:cstheme="minorHAnsi"/>
          <w:bCs/>
          <w:i/>
          <w:sz w:val="22"/>
          <w:szCs w:val="22"/>
          <w:lang w:eastAsia="pt-BR"/>
        </w:rPr>
        <w:t>Obras e Infraestrutura</w:t>
      </w:r>
    </w:p>
    <w:sectPr w:rsidR="00CB0A11" w:rsidRPr="004069E2"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 xml:space="preserve">Secretaria Municipal de </w:t>
    </w:r>
    <w:r w:rsidR="00CB0A11">
      <w:rPr>
        <w:rFonts w:asciiTheme="minorHAnsi" w:hAnsiTheme="minorHAnsi" w:cstheme="minorHAnsi"/>
        <w:b/>
      </w:rPr>
      <w:t>Obras e Infraestrutura</w:t>
    </w:r>
  </w:p>
  <w:p w:rsidR="00CB0A11" w:rsidRPr="00E3000B" w:rsidRDefault="00CB0A11"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59A3"/>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F21"/>
    <w:rsid w:val="0018756F"/>
    <w:rsid w:val="00187D0F"/>
    <w:rsid w:val="00190CB2"/>
    <w:rsid w:val="00192EE7"/>
    <w:rsid w:val="001A116E"/>
    <w:rsid w:val="001A11F4"/>
    <w:rsid w:val="001A29D7"/>
    <w:rsid w:val="001A4AD6"/>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4BFF"/>
    <w:rsid w:val="00385146"/>
    <w:rsid w:val="00385CC7"/>
    <w:rsid w:val="00387721"/>
    <w:rsid w:val="0039129F"/>
    <w:rsid w:val="00394780"/>
    <w:rsid w:val="00396262"/>
    <w:rsid w:val="003A1807"/>
    <w:rsid w:val="003B2397"/>
    <w:rsid w:val="003C02F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069E2"/>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095E"/>
    <w:rsid w:val="00632D68"/>
    <w:rsid w:val="00633BA3"/>
    <w:rsid w:val="006340B0"/>
    <w:rsid w:val="006349CC"/>
    <w:rsid w:val="0063758C"/>
    <w:rsid w:val="006404E0"/>
    <w:rsid w:val="00641012"/>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A206F"/>
    <w:rsid w:val="009A46C6"/>
    <w:rsid w:val="009B5F32"/>
    <w:rsid w:val="009B6FB6"/>
    <w:rsid w:val="009B71A9"/>
    <w:rsid w:val="009C240C"/>
    <w:rsid w:val="009C636B"/>
    <w:rsid w:val="009D046A"/>
    <w:rsid w:val="009D36EA"/>
    <w:rsid w:val="009D456A"/>
    <w:rsid w:val="009D656F"/>
    <w:rsid w:val="009D7944"/>
    <w:rsid w:val="009E0AAD"/>
    <w:rsid w:val="009E245E"/>
    <w:rsid w:val="009E2717"/>
    <w:rsid w:val="009E7E9C"/>
    <w:rsid w:val="009F12B7"/>
    <w:rsid w:val="009F4070"/>
    <w:rsid w:val="00A0072E"/>
    <w:rsid w:val="00A00898"/>
    <w:rsid w:val="00A01934"/>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3522"/>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420D8"/>
    <w:rsid w:val="00C439F3"/>
    <w:rsid w:val="00C46A59"/>
    <w:rsid w:val="00C46F6A"/>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D4C"/>
    <w:rsid w:val="00DB60CF"/>
    <w:rsid w:val="00DB62AA"/>
    <w:rsid w:val="00DC1A00"/>
    <w:rsid w:val="00DC2A4B"/>
    <w:rsid w:val="00DC2AFB"/>
    <w:rsid w:val="00DC4655"/>
    <w:rsid w:val="00DC5EB6"/>
    <w:rsid w:val="00DC702A"/>
    <w:rsid w:val="00DC7389"/>
    <w:rsid w:val="00DD1421"/>
    <w:rsid w:val="00DD1F51"/>
    <w:rsid w:val="00DD404B"/>
    <w:rsid w:val="00DD6692"/>
    <w:rsid w:val="00DD7012"/>
    <w:rsid w:val="00DE1771"/>
    <w:rsid w:val="00DE3151"/>
    <w:rsid w:val="00DE3D52"/>
    <w:rsid w:val="00DE5303"/>
    <w:rsid w:val="00DE6F2F"/>
    <w:rsid w:val="00DF0186"/>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F57AD05"/>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0187136">
      <w:bodyDiv w:val="1"/>
      <w:marLeft w:val="0"/>
      <w:marRight w:val="0"/>
      <w:marTop w:val="0"/>
      <w:marBottom w:val="0"/>
      <w:divBdr>
        <w:top w:val="none" w:sz="0" w:space="0" w:color="auto"/>
        <w:left w:val="none" w:sz="0" w:space="0" w:color="auto"/>
        <w:bottom w:val="none" w:sz="0" w:space="0" w:color="auto"/>
        <w:right w:val="none" w:sz="0" w:space="0" w:color="auto"/>
      </w:divBdr>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2355">
      <w:bodyDiv w:val="1"/>
      <w:marLeft w:val="0"/>
      <w:marRight w:val="0"/>
      <w:marTop w:val="0"/>
      <w:marBottom w:val="0"/>
      <w:divBdr>
        <w:top w:val="none" w:sz="0" w:space="0" w:color="auto"/>
        <w:left w:val="none" w:sz="0" w:space="0" w:color="auto"/>
        <w:bottom w:val="none" w:sz="0" w:space="0" w:color="auto"/>
        <w:right w:val="none" w:sz="0" w:space="0" w:color="auto"/>
      </w:divBdr>
    </w:div>
    <w:div w:id="961107278">
      <w:bodyDiv w:val="1"/>
      <w:marLeft w:val="0"/>
      <w:marRight w:val="0"/>
      <w:marTop w:val="0"/>
      <w:marBottom w:val="0"/>
      <w:divBdr>
        <w:top w:val="none" w:sz="0" w:space="0" w:color="auto"/>
        <w:left w:val="none" w:sz="0" w:space="0" w:color="auto"/>
        <w:bottom w:val="none" w:sz="0" w:space="0" w:color="auto"/>
        <w:right w:val="none" w:sz="0" w:space="0" w:color="auto"/>
      </w:divBdr>
    </w:div>
    <w:div w:id="983193132">
      <w:bodyDiv w:val="1"/>
      <w:marLeft w:val="0"/>
      <w:marRight w:val="0"/>
      <w:marTop w:val="0"/>
      <w:marBottom w:val="0"/>
      <w:divBdr>
        <w:top w:val="none" w:sz="0" w:space="0" w:color="auto"/>
        <w:left w:val="none" w:sz="0" w:space="0" w:color="auto"/>
        <w:bottom w:val="none" w:sz="0" w:space="0" w:color="auto"/>
        <w:right w:val="none" w:sz="0" w:space="0" w:color="auto"/>
      </w:divBdr>
      <w:divsChild>
        <w:div w:id="2107265208">
          <w:marLeft w:val="0"/>
          <w:marRight w:val="0"/>
          <w:marTop w:val="0"/>
          <w:marBottom w:val="0"/>
          <w:divBdr>
            <w:top w:val="none" w:sz="0" w:space="0" w:color="auto"/>
            <w:left w:val="none" w:sz="0" w:space="0" w:color="auto"/>
            <w:bottom w:val="none" w:sz="0" w:space="0" w:color="auto"/>
            <w:right w:val="none" w:sz="0" w:space="0" w:color="auto"/>
          </w:divBdr>
        </w:div>
        <w:div w:id="930431986">
          <w:marLeft w:val="0"/>
          <w:marRight w:val="0"/>
          <w:marTop w:val="0"/>
          <w:marBottom w:val="0"/>
          <w:divBdr>
            <w:top w:val="none" w:sz="0" w:space="0" w:color="auto"/>
            <w:left w:val="none" w:sz="0" w:space="0" w:color="auto"/>
            <w:bottom w:val="none" w:sz="0" w:space="0" w:color="auto"/>
            <w:right w:val="none" w:sz="0" w:space="0" w:color="auto"/>
          </w:divBdr>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8C4A-FAB1-4D56-9CC1-AFD8E870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823</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3</cp:revision>
  <cp:lastPrinted>2021-06-30T12:03:00Z</cp:lastPrinted>
  <dcterms:created xsi:type="dcterms:W3CDTF">2021-07-05T18:29:00Z</dcterms:created>
  <dcterms:modified xsi:type="dcterms:W3CDTF">2021-07-05T18:39:00Z</dcterms:modified>
</cp:coreProperties>
</file>